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F1F6A" w14:textId="77777777" w:rsidR="00C20F60" w:rsidRPr="00C20F60" w:rsidRDefault="00C20F60" w:rsidP="00C20F60">
      <w:pPr>
        <w:jc w:val="center"/>
        <w:rPr>
          <w:rFonts w:ascii="Arial" w:hAnsi="Arial" w:cs="Arial"/>
          <w:b/>
          <w:bCs/>
        </w:rPr>
      </w:pPr>
      <w:r w:rsidRPr="00C20F60">
        <w:rPr>
          <w:rFonts w:ascii="Arial" w:hAnsi="Arial" w:cs="Arial"/>
          <w:b/>
          <w:bCs/>
        </w:rPr>
        <w:t>AFIANZA ANA PATY PERALTA TRANSFORMACIÓN DE CANCÚN CON OBRAS PARA LOS CANCUNENSES</w:t>
      </w:r>
    </w:p>
    <w:p w14:paraId="2B3501D2" w14:textId="77777777" w:rsidR="00C20F60" w:rsidRPr="00C20F60" w:rsidRDefault="00C20F60" w:rsidP="00C20F60">
      <w:pPr>
        <w:jc w:val="both"/>
        <w:rPr>
          <w:rFonts w:ascii="Arial" w:hAnsi="Arial" w:cs="Arial"/>
          <w:b/>
          <w:bCs/>
        </w:rPr>
      </w:pPr>
    </w:p>
    <w:p w14:paraId="2B93A6BD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  <w:b/>
          <w:bCs/>
        </w:rPr>
        <w:t>Cancún, Q. R., a 27 de julio de 2023.-</w:t>
      </w:r>
      <w:r w:rsidRPr="00C20F60">
        <w:rPr>
          <w:rFonts w:ascii="Arial" w:hAnsi="Arial" w:cs="Arial"/>
        </w:rPr>
        <w:t xml:space="preserve"> Con la reciente aprobación del segundo paquete de obras del Plan de Inversión Anual (PIA) 2023 por parte del Cabildo, la </w:t>
      </w:r>
      <w:proofErr w:type="gramStart"/>
      <w:r w:rsidRPr="00C20F60">
        <w:rPr>
          <w:rFonts w:ascii="Arial" w:hAnsi="Arial" w:cs="Arial"/>
        </w:rPr>
        <w:t>Presidenta</w:t>
      </w:r>
      <w:proofErr w:type="gramEnd"/>
      <w:r w:rsidRPr="00C20F60">
        <w:rPr>
          <w:rFonts w:ascii="Arial" w:hAnsi="Arial" w:cs="Arial"/>
        </w:rPr>
        <w:t xml:space="preserve"> Municipal, Ana Paty Peralta, aseguró que este año Cancún continuará consolidando proyectos históricos de infraestructura para la mejora de la calidad de vida de la ciudadanía y la imagen urbana, accesibilidad y tránsito de la ciudad.</w:t>
      </w:r>
    </w:p>
    <w:p w14:paraId="5A706525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24E51708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t>“Esta es la siguiente etapa del Programa de Inversión Anual 2023 con el que seguiremos invirtiendo recursos históricos en nuestro municipio para su transformación”, enfatizó Ana Paty Peralta.</w:t>
      </w:r>
    </w:p>
    <w:p w14:paraId="03B1588A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459E5650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t>En dicho presupuesto, que se realiza con inversión federal a través del Fondo de Aportaciones para el Fortalecimiento de los Municipios y el Fondo de Aportaciones para la Infraestructura Social Municipal, se contempla la rehabilitación de espacios y dotación de servicios públicos en ocho proyectos, beneficiando de manera directa a los vecinos de las Supermanzanas 71, 94, 96, 99, 106, 227, 237 y 245, así como de manera indirecta al resto de ciudadanos que transitan por estas zonas.</w:t>
      </w:r>
    </w:p>
    <w:p w14:paraId="66620D08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5A9AE12B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t xml:space="preserve">De manera puntual, el gobierno de Benito Juárez realizará la instalación de luminarias en la </w:t>
      </w:r>
      <w:proofErr w:type="spellStart"/>
      <w:r w:rsidRPr="00C20F60">
        <w:rPr>
          <w:rFonts w:ascii="Arial" w:hAnsi="Arial" w:cs="Arial"/>
        </w:rPr>
        <w:t>trotapista</w:t>
      </w:r>
      <w:proofErr w:type="spellEnd"/>
      <w:r w:rsidRPr="00C20F60">
        <w:rPr>
          <w:rFonts w:ascii="Arial" w:hAnsi="Arial" w:cs="Arial"/>
        </w:rPr>
        <w:t xml:space="preserve"> de la Unidad Deportiva “José María Morelos” en la Sm. 71 y la construcción de guarniciones y banquetas accesibles del perímetro de asociaciones civiles en la Sm. 94, que incluye línea </w:t>
      </w:r>
      <w:proofErr w:type="spellStart"/>
      <w:r w:rsidRPr="00C20F60">
        <w:rPr>
          <w:rFonts w:ascii="Arial" w:hAnsi="Arial" w:cs="Arial"/>
        </w:rPr>
        <w:t>podotáctil</w:t>
      </w:r>
      <w:proofErr w:type="spellEnd"/>
      <w:r w:rsidRPr="00C20F60">
        <w:rPr>
          <w:rFonts w:ascii="Arial" w:hAnsi="Arial" w:cs="Arial"/>
        </w:rPr>
        <w:t>, señalética horizontal y vertical, bolardos, rampas y cruces señalizados para garantizar el tránsito de peatones en la zona.</w:t>
      </w:r>
    </w:p>
    <w:p w14:paraId="02BD12BB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2A8436D3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t>También se llevará a cabo la rehabilitación de infraestructura en la Sm. 96 y 99, con pozos de absorción, señalética, pavimentación con concreto hidráulico, alumbrado público y guarniciones y banquetas; mientras que en la Sm. 106 se construirá la etapa 3 del parque funerario; y en la Sm. 227, se ampliará el parque público con la creación de dos áreas de juegos, andadores, área de usos múltiples y mesas tipo picnic para el disfrute de las familias.</w:t>
      </w:r>
    </w:p>
    <w:p w14:paraId="2D37FA8C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579398B0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t xml:space="preserve">En la Supermanzana 234 se proveerá a los residentes de servicios básicos con electrificación, red de alumbrado y red de agua potable, asegurando mejorar su calidad de vida y atender un añejo problema. Asimismo, en la Sm. 245, en la colonia </w:t>
      </w:r>
      <w:proofErr w:type="spellStart"/>
      <w:r w:rsidRPr="00C20F60">
        <w:rPr>
          <w:rFonts w:ascii="Arial" w:hAnsi="Arial" w:cs="Arial"/>
        </w:rPr>
        <w:t>Sacbé</w:t>
      </w:r>
      <w:proofErr w:type="spellEnd"/>
      <w:r w:rsidRPr="00C20F60">
        <w:rPr>
          <w:rFonts w:ascii="Arial" w:hAnsi="Arial" w:cs="Arial"/>
        </w:rPr>
        <w:t>, se construirá un parque público, área de juegos, andadores, área de usos múltiples y bancas, ampliando los espacios de sano esparcimiento en la ciudad.</w:t>
      </w:r>
    </w:p>
    <w:p w14:paraId="54556AE2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6BF23CDC" w14:textId="77777777" w:rsidR="00C20F60" w:rsidRPr="00C20F60" w:rsidRDefault="00C20F60" w:rsidP="00C20F60">
      <w:pPr>
        <w:jc w:val="both"/>
        <w:rPr>
          <w:rFonts w:ascii="Arial" w:hAnsi="Arial" w:cs="Arial"/>
        </w:rPr>
      </w:pPr>
      <w:r w:rsidRPr="00C20F60">
        <w:rPr>
          <w:rFonts w:ascii="Arial" w:hAnsi="Arial" w:cs="Arial"/>
        </w:rPr>
        <w:lastRenderedPageBreak/>
        <w:t>Estas obras que permitirán mejorar la infraestructura urbana de Cancún, y a su vez, brindar mejores oportunidades para los cancunenses, iniciarán licitaciones en las próximas semanas y posteriormente su construcción para consolidarse este 2023.</w:t>
      </w:r>
    </w:p>
    <w:p w14:paraId="4715BF2E" w14:textId="77777777" w:rsidR="00C20F60" w:rsidRPr="00C20F60" w:rsidRDefault="00C20F60" w:rsidP="00C20F60">
      <w:pPr>
        <w:jc w:val="both"/>
        <w:rPr>
          <w:rFonts w:ascii="Arial" w:hAnsi="Arial" w:cs="Arial"/>
        </w:rPr>
      </w:pPr>
    </w:p>
    <w:p w14:paraId="3EA0F378" w14:textId="6BE053A0" w:rsidR="00351441" w:rsidRPr="00C20F60" w:rsidRDefault="00C20F60" w:rsidP="00C20F60">
      <w:pPr>
        <w:jc w:val="center"/>
        <w:rPr>
          <w:b/>
          <w:bCs/>
        </w:rPr>
      </w:pPr>
      <w:r w:rsidRPr="00C20F60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351441" w:rsidRPr="00C20F60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E87F" w14:textId="77777777" w:rsidR="004157CB" w:rsidRDefault="004157CB" w:rsidP="0032752D">
      <w:r>
        <w:separator/>
      </w:r>
    </w:p>
  </w:endnote>
  <w:endnote w:type="continuationSeparator" w:id="0">
    <w:p w14:paraId="02DE74FF" w14:textId="77777777" w:rsidR="004157CB" w:rsidRDefault="004157C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14EAF" w14:textId="77777777" w:rsidR="004157CB" w:rsidRDefault="004157CB" w:rsidP="0032752D">
      <w:r>
        <w:separator/>
      </w:r>
    </w:p>
  </w:footnote>
  <w:footnote w:type="continuationSeparator" w:id="0">
    <w:p w14:paraId="31867BF4" w14:textId="77777777" w:rsidR="004157CB" w:rsidRDefault="004157C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227E0E63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873AB1">
            <w:rPr>
              <w:rFonts w:ascii="Gotham" w:hAnsi="Gotham"/>
              <w:b/>
              <w:sz w:val="22"/>
              <w:szCs w:val="22"/>
              <w:lang w:val="es-MX"/>
            </w:rPr>
            <w:t>87</w:t>
          </w:r>
          <w:r w:rsidR="00C20F60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</w:p>
        <w:p w14:paraId="2564202F" w14:textId="16828833" w:rsidR="002A59FA" w:rsidRPr="00E068A5" w:rsidRDefault="00873AB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2CB"/>
    <w:multiLevelType w:val="hybridMultilevel"/>
    <w:tmpl w:val="3D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562011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157CB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873AB1"/>
    <w:rsid w:val="009901D7"/>
    <w:rsid w:val="00997D9F"/>
    <w:rsid w:val="009A6B8F"/>
    <w:rsid w:val="00A120C1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20F60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2023-07-27T20:21:00Z</dcterms:created>
  <dcterms:modified xsi:type="dcterms:W3CDTF">2023-07-27T20:21:00Z</dcterms:modified>
</cp:coreProperties>
</file>